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CA" w:rsidRPr="009171DA" w:rsidRDefault="008551CA" w:rsidP="008551CA">
      <w:pPr>
        <w:overflowPunct/>
        <w:spacing w:after="0" w:line="240" w:lineRule="auto"/>
        <w:rPr>
          <w:rFonts w:ascii="Arial" w:eastAsiaTheme="minorHAnsi" w:hAnsi="Arial" w:cs="Arial"/>
          <w:b/>
          <w:bCs/>
          <w:sz w:val="28"/>
          <w:szCs w:val="28"/>
        </w:rPr>
      </w:pPr>
      <w:r w:rsidRPr="009171DA">
        <w:rPr>
          <w:rFonts w:ascii="Arial" w:eastAsiaTheme="minorHAnsi" w:hAnsi="Arial" w:cs="Arial"/>
          <w:b/>
          <w:bCs/>
          <w:sz w:val="28"/>
          <w:szCs w:val="28"/>
        </w:rPr>
        <w:t>Development Control Committee</w:t>
      </w:r>
    </w:p>
    <w:p w:rsidR="008551CA" w:rsidRPr="009171DA" w:rsidRDefault="008551CA" w:rsidP="008551CA">
      <w:pPr>
        <w:spacing w:after="0"/>
        <w:rPr>
          <w:rFonts w:ascii="Arial" w:eastAsiaTheme="minorHAnsi" w:hAnsi="Arial" w:cs="Arial"/>
          <w:b/>
          <w:sz w:val="28"/>
          <w:szCs w:val="28"/>
        </w:rPr>
      </w:pPr>
      <w:r w:rsidRPr="009171DA">
        <w:rPr>
          <w:rFonts w:ascii="Arial" w:eastAsiaTheme="minorHAnsi" w:hAnsi="Arial" w:cs="Arial"/>
          <w:sz w:val="28"/>
          <w:szCs w:val="28"/>
        </w:rPr>
        <w:t>Meeting to be held on 23 June 2015</w:t>
      </w:r>
    </w:p>
    <w:p w:rsidR="008551CA" w:rsidRDefault="008551CA" w:rsidP="008551CA">
      <w:pPr>
        <w:spacing w:after="0"/>
        <w:rPr>
          <w:rFonts w:ascii="Arial" w:eastAsiaTheme="minorHAnsi" w:hAnsi="Arial" w:cs="Arial"/>
          <w:b/>
          <w:sz w:val="28"/>
          <w:szCs w:val="28"/>
        </w:rPr>
      </w:pPr>
      <w:r w:rsidRPr="009171DA">
        <w:rPr>
          <w:rFonts w:ascii="Arial" w:eastAsiaTheme="minorHAnsi" w:hAnsi="Arial" w:cs="Arial"/>
          <w:b/>
          <w:sz w:val="28"/>
          <w:szCs w:val="28"/>
        </w:rPr>
        <w:t xml:space="preserve">Addendum </w:t>
      </w:r>
    </w:p>
    <w:p w:rsidR="008551CA" w:rsidRPr="002004C6" w:rsidRDefault="008551CA" w:rsidP="008551CA">
      <w:pPr>
        <w:spacing w:line="240" w:lineRule="auto"/>
        <w:rPr>
          <w:rFonts w:ascii="Arial" w:hAnsi="Arial" w:cs="Arial"/>
          <w:color w:val="1F497D"/>
          <w:sz w:val="24"/>
          <w:szCs w:val="24"/>
        </w:rPr>
      </w:pPr>
      <w:r w:rsidRPr="002004C6">
        <w:rPr>
          <w:rFonts w:ascii="Arial" w:hAnsi="Arial" w:cs="Arial"/>
          <w:sz w:val="24"/>
          <w:szCs w:val="24"/>
        </w:rPr>
        <w:t>Th</w:t>
      </w:r>
      <w:r>
        <w:rPr>
          <w:rFonts w:ascii="Arial" w:hAnsi="Arial" w:cs="Arial"/>
          <w:sz w:val="24"/>
          <w:szCs w:val="24"/>
        </w:rPr>
        <w:t>is</w:t>
      </w:r>
      <w:r w:rsidRPr="002004C6">
        <w:rPr>
          <w:rFonts w:ascii="Arial" w:hAnsi="Arial" w:cs="Arial"/>
          <w:sz w:val="24"/>
          <w:szCs w:val="24"/>
        </w:rPr>
        <w:t xml:space="preserve"> is an addendum to the officer's report to the development control committee considering the planning applications relating to Preston New Road</w:t>
      </w:r>
      <w:r>
        <w:rPr>
          <w:rFonts w:ascii="Arial" w:hAnsi="Arial" w:cs="Arial"/>
          <w:sz w:val="24"/>
          <w:szCs w:val="24"/>
        </w:rPr>
        <w:t xml:space="preserve">. </w:t>
      </w:r>
      <w:r w:rsidRPr="002004C6">
        <w:rPr>
          <w:rFonts w:ascii="Arial" w:hAnsi="Arial" w:cs="Arial"/>
          <w:sz w:val="24"/>
          <w:szCs w:val="24"/>
        </w:rPr>
        <w:t>The addendum contains</w:t>
      </w:r>
      <w:r w:rsidR="00A7112A">
        <w:rPr>
          <w:rFonts w:ascii="Arial" w:hAnsi="Arial" w:cs="Arial"/>
          <w:sz w:val="24"/>
          <w:szCs w:val="24"/>
        </w:rPr>
        <w:t xml:space="preserve"> an </w:t>
      </w:r>
      <w:r w:rsidRPr="002004C6">
        <w:rPr>
          <w:rFonts w:ascii="Arial" w:hAnsi="Arial" w:cs="Arial"/>
          <w:sz w:val="24"/>
          <w:szCs w:val="24"/>
        </w:rPr>
        <w:t>addition</w:t>
      </w:r>
      <w:r w:rsidR="00A7112A">
        <w:rPr>
          <w:rFonts w:ascii="Arial" w:hAnsi="Arial" w:cs="Arial"/>
          <w:sz w:val="24"/>
          <w:szCs w:val="24"/>
        </w:rPr>
        <w:t xml:space="preserve"> to the report.</w:t>
      </w:r>
      <w:bookmarkStart w:id="0" w:name="_GoBack"/>
      <w:bookmarkEnd w:id="0"/>
      <w:r w:rsidRPr="002004C6">
        <w:rPr>
          <w:rFonts w:ascii="Arial" w:hAnsi="Arial" w:cs="Arial"/>
          <w:sz w:val="24"/>
          <w:szCs w:val="24"/>
        </w:rPr>
        <w:t xml:space="preserve"> </w:t>
      </w:r>
      <w:r>
        <w:rPr>
          <w:rFonts w:ascii="Arial" w:hAnsi="Arial" w:cs="Arial"/>
          <w:sz w:val="24"/>
          <w:szCs w:val="24"/>
        </w:rPr>
        <w:t xml:space="preserve">  </w:t>
      </w:r>
      <w:r w:rsidRPr="002004C6">
        <w:rPr>
          <w:rFonts w:ascii="Arial" w:hAnsi="Arial" w:cs="Arial"/>
          <w:sz w:val="24"/>
          <w:szCs w:val="24"/>
        </w:rPr>
        <w:t>Any further additions, including additional representations received after the agenda was published, will be reported to the committee in the usual way when the applications are presented for determination</w:t>
      </w:r>
      <w:r>
        <w:rPr>
          <w:rFonts w:ascii="Arial" w:hAnsi="Arial" w:cs="Arial"/>
          <w:sz w:val="24"/>
          <w:szCs w:val="24"/>
        </w:rPr>
        <w:t>.</w:t>
      </w:r>
    </w:p>
    <w:p w:rsidR="004C4B9B" w:rsidRDefault="004C4B9B" w:rsidP="004C4B9B">
      <w:pPr>
        <w:spacing w:after="0" w:line="276" w:lineRule="auto"/>
        <w:jc w:val="both"/>
        <w:rPr>
          <w:rFonts w:ascii="Arial" w:eastAsiaTheme="minorHAnsi" w:hAnsi="Arial" w:cs="Arial"/>
          <w:b/>
          <w:sz w:val="24"/>
          <w:szCs w:val="24"/>
          <w:u w:val="single"/>
        </w:rPr>
      </w:pPr>
      <w:r>
        <w:rPr>
          <w:rFonts w:ascii="Arial" w:eastAsiaTheme="minorHAnsi" w:hAnsi="Arial" w:cs="Arial"/>
          <w:b/>
          <w:sz w:val="24"/>
          <w:szCs w:val="24"/>
          <w:u w:val="single"/>
        </w:rPr>
        <w:t>Item 9 – page 775</w:t>
      </w:r>
    </w:p>
    <w:p w:rsidR="004C4B9B" w:rsidRDefault="004C4B9B" w:rsidP="004C4B9B">
      <w:pPr>
        <w:spacing w:after="0" w:line="276" w:lineRule="auto"/>
        <w:jc w:val="both"/>
        <w:rPr>
          <w:rFonts w:ascii="Arial" w:eastAsiaTheme="minorHAnsi" w:hAnsi="Arial" w:cs="Arial"/>
          <w:b/>
          <w:sz w:val="24"/>
          <w:szCs w:val="24"/>
        </w:rPr>
      </w:pPr>
    </w:p>
    <w:p w:rsidR="004C4B9B" w:rsidRDefault="004C4B9B" w:rsidP="004C4B9B">
      <w:pPr>
        <w:spacing w:after="0" w:line="240" w:lineRule="auto"/>
        <w:jc w:val="both"/>
        <w:rPr>
          <w:rFonts w:ascii="Arial" w:hAnsi="Arial" w:cs="Arial"/>
          <w:b/>
          <w:sz w:val="24"/>
          <w:szCs w:val="24"/>
        </w:rPr>
      </w:pPr>
      <w:r>
        <w:rPr>
          <w:rFonts w:ascii="Arial" w:hAnsi="Arial" w:cs="Arial"/>
          <w:b/>
          <w:sz w:val="24"/>
          <w:szCs w:val="24"/>
        </w:rPr>
        <w:t>Fylde Borough Council: application number. LCC/2014/0102</w:t>
      </w:r>
    </w:p>
    <w:p w:rsidR="004C4B9B" w:rsidRDefault="004C4B9B" w:rsidP="004C4B9B">
      <w:pPr>
        <w:spacing w:after="0" w:line="240" w:lineRule="auto"/>
        <w:jc w:val="both"/>
        <w:rPr>
          <w:rFonts w:ascii="Arial" w:hAnsi="Arial" w:cs="Arial"/>
          <w:b/>
          <w:sz w:val="24"/>
          <w:szCs w:val="24"/>
        </w:rPr>
      </w:pPr>
      <w:r>
        <w:rPr>
          <w:rFonts w:ascii="Arial" w:hAnsi="Arial" w:cs="Arial"/>
          <w:b/>
          <w:sz w:val="24"/>
          <w:szCs w:val="24"/>
        </w:rPr>
        <w:t xml:space="preserve">Application for monitoring works in a 4 km radius of the proposed </w:t>
      </w:r>
      <w:proofErr w:type="spellStart"/>
      <w:r>
        <w:rPr>
          <w:rFonts w:ascii="Arial" w:hAnsi="Arial" w:cs="Arial"/>
          <w:b/>
          <w:sz w:val="24"/>
          <w:szCs w:val="24"/>
        </w:rPr>
        <w:t>Roseacre</w:t>
      </w:r>
      <w:proofErr w:type="spellEnd"/>
      <w:r>
        <w:rPr>
          <w:rFonts w:ascii="Arial" w:hAnsi="Arial" w:cs="Arial"/>
          <w:b/>
          <w:sz w:val="24"/>
          <w:szCs w:val="24"/>
        </w:rPr>
        <w:t xml:space="preserve"> Wood exploration site comprising: the construction, operation and restoration of two seismic monitoring arrays comprising of 80 buried seismic monitoring stations and 8 surface seismic monitoring stations. The seismic monitoring stations will comprise underground installation of seismicity sensors; enclosed equipment and fenced enclosures. The surface array will also comprise monitoring cabinets. The application is also for the drilling of three boreholes, each installed with 2 monitoring wells, to monitor groundwater and ground gas, including fencing at the perimeter of the </w:t>
      </w:r>
      <w:proofErr w:type="spellStart"/>
      <w:r>
        <w:rPr>
          <w:rFonts w:ascii="Arial" w:hAnsi="Arial" w:cs="Arial"/>
          <w:b/>
          <w:sz w:val="24"/>
          <w:szCs w:val="24"/>
        </w:rPr>
        <w:t>Roseacre</w:t>
      </w:r>
      <w:proofErr w:type="spellEnd"/>
      <w:r>
        <w:rPr>
          <w:rFonts w:ascii="Arial" w:hAnsi="Arial" w:cs="Arial"/>
          <w:b/>
          <w:sz w:val="24"/>
          <w:szCs w:val="24"/>
        </w:rPr>
        <w:t xml:space="preserve"> wood exploration site. Monitoring works in a 4km radius of the proposed </w:t>
      </w:r>
      <w:proofErr w:type="spellStart"/>
      <w:r>
        <w:rPr>
          <w:rFonts w:ascii="Arial" w:hAnsi="Arial" w:cs="Arial"/>
          <w:b/>
          <w:sz w:val="24"/>
          <w:szCs w:val="24"/>
        </w:rPr>
        <w:t>Roseacre</w:t>
      </w:r>
      <w:proofErr w:type="spellEnd"/>
      <w:r>
        <w:rPr>
          <w:rFonts w:ascii="Arial" w:hAnsi="Arial" w:cs="Arial"/>
          <w:b/>
          <w:sz w:val="24"/>
          <w:szCs w:val="24"/>
        </w:rPr>
        <w:t xml:space="preserve"> Wood site, off </w:t>
      </w:r>
      <w:proofErr w:type="spellStart"/>
      <w:r>
        <w:rPr>
          <w:rFonts w:ascii="Arial" w:hAnsi="Arial" w:cs="Arial"/>
          <w:b/>
          <w:sz w:val="24"/>
          <w:szCs w:val="24"/>
        </w:rPr>
        <w:t>Roseacre</w:t>
      </w:r>
      <w:proofErr w:type="spellEnd"/>
      <w:r>
        <w:rPr>
          <w:rFonts w:ascii="Arial" w:hAnsi="Arial" w:cs="Arial"/>
          <w:b/>
          <w:sz w:val="24"/>
          <w:szCs w:val="24"/>
        </w:rPr>
        <w:t xml:space="preserve"> Road and Inskip Road, </w:t>
      </w:r>
      <w:proofErr w:type="spellStart"/>
      <w:r>
        <w:rPr>
          <w:rFonts w:ascii="Arial" w:hAnsi="Arial" w:cs="Arial"/>
          <w:b/>
          <w:sz w:val="24"/>
          <w:szCs w:val="24"/>
        </w:rPr>
        <w:t>Roseacre</w:t>
      </w:r>
      <w:proofErr w:type="spellEnd"/>
      <w:r>
        <w:rPr>
          <w:rFonts w:ascii="Arial" w:hAnsi="Arial" w:cs="Arial"/>
          <w:b/>
          <w:sz w:val="24"/>
          <w:szCs w:val="24"/>
        </w:rPr>
        <w:t xml:space="preserve"> and </w:t>
      </w:r>
      <w:proofErr w:type="spellStart"/>
      <w:r>
        <w:rPr>
          <w:rFonts w:ascii="Arial" w:hAnsi="Arial" w:cs="Arial"/>
          <w:b/>
          <w:sz w:val="24"/>
          <w:szCs w:val="24"/>
        </w:rPr>
        <w:t>Wharles</w:t>
      </w:r>
      <w:proofErr w:type="spellEnd"/>
      <w:r>
        <w:rPr>
          <w:rFonts w:ascii="Arial" w:hAnsi="Arial" w:cs="Arial"/>
          <w:b/>
          <w:sz w:val="24"/>
          <w:szCs w:val="24"/>
        </w:rPr>
        <w:t>, Preston.</w:t>
      </w:r>
    </w:p>
    <w:p w:rsidR="004C4B9B" w:rsidRDefault="004C4B9B" w:rsidP="004C4B9B">
      <w:pPr>
        <w:spacing w:after="0" w:line="240" w:lineRule="auto"/>
        <w:jc w:val="both"/>
        <w:rPr>
          <w:rFonts w:ascii="Arial" w:hAnsi="Arial" w:cs="Arial"/>
          <w:b/>
          <w:sz w:val="24"/>
          <w:szCs w:val="24"/>
        </w:rPr>
      </w:pPr>
    </w:p>
    <w:p w:rsidR="004C4B9B" w:rsidRDefault="004C4B9B" w:rsidP="004C4B9B">
      <w:pPr>
        <w:spacing w:after="0" w:line="240" w:lineRule="auto"/>
        <w:jc w:val="both"/>
        <w:rPr>
          <w:rFonts w:ascii="Arial" w:hAnsi="Arial" w:cs="Arial"/>
          <w:b/>
          <w:sz w:val="24"/>
          <w:szCs w:val="24"/>
        </w:rPr>
      </w:pPr>
      <w:r>
        <w:rPr>
          <w:rFonts w:ascii="Arial" w:hAnsi="Arial" w:cs="Arial"/>
          <w:b/>
          <w:sz w:val="24"/>
          <w:szCs w:val="24"/>
        </w:rPr>
        <w:t>Page 808</w:t>
      </w:r>
    </w:p>
    <w:p w:rsidR="004C4B9B" w:rsidRDefault="004C4B9B" w:rsidP="004C4B9B">
      <w:pPr>
        <w:spacing w:after="0" w:line="240" w:lineRule="auto"/>
        <w:jc w:val="both"/>
        <w:rPr>
          <w:rFonts w:ascii="Arial" w:hAnsi="Arial" w:cs="Arial"/>
          <w:sz w:val="24"/>
          <w:szCs w:val="24"/>
        </w:rPr>
      </w:pPr>
    </w:p>
    <w:p w:rsidR="004C4B9B" w:rsidRDefault="004C4B9B" w:rsidP="004C4B9B">
      <w:pPr>
        <w:overflowPunct/>
        <w:spacing w:line="240" w:lineRule="auto"/>
        <w:jc w:val="both"/>
        <w:rPr>
          <w:rFonts w:ascii="Arial" w:hAnsi="Arial" w:cs="Arial"/>
          <w:sz w:val="24"/>
          <w:szCs w:val="24"/>
        </w:rPr>
      </w:pPr>
      <w:r>
        <w:rPr>
          <w:rFonts w:ascii="Arial" w:hAnsi="Arial" w:cs="Arial"/>
          <w:sz w:val="24"/>
          <w:szCs w:val="24"/>
        </w:rPr>
        <w:t>Additional condition to be inserted after condition 2 and all subsequent conditions to be re-numbered:</w:t>
      </w:r>
    </w:p>
    <w:p w:rsidR="004C4B9B" w:rsidRDefault="004C4B9B" w:rsidP="004C4B9B">
      <w:pPr>
        <w:overflowPunct/>
        <w:spacing w:line="240" w:lineRule="auto"/>
        <w:ind w:left="567"/>
        <w:jc w:val="both"/>
        <w:rPr>
          <w:rFonts w:ascii="Arial" w:hAnsi="Arial" w:cs="Arial"/>
          <w:sz w:val="24"/>
          <w:szCs w:val="24"/>
        </w:rPr>
      </w:pPr>
      <w:r>
        <w:rPr>
          <w:rFonts w:ascii="Arial" w:hAnsi="Arial" w:cs="Arial"/>
          <w:sz w:val="24"/>
          <w:szCs w:val="24"/>
        </w:rPr>
        <w:t xml:space="preserve">Within 1 week of the completion of the installation of each of the 80 buried seismic monitoring stations, the 8 surface seismic monitoring stations and construction of the associated enclosed equipment, the drilling of the 3 ground water monitoring boreholes and erection of fenced enclosures to each of the monitoring stations, all plant and equipment, temporary surfacing required for the installation of the monitoring stations fences or other form of boundary treatment to the red edge boundary to each of the monitoring stations required for the installation of the stations shall be removed, and all the land, other than that required for the monitoring stations themselves, their respective 2m x 2m fenced enclosures and associated equipment, shall be reinstated and restored to agricultural use and thereafter retained in such use in accordance with the planning conditions to this permission for the permitted operational life of each of the monitoring stations until such time as they are to be removed for the purposes of the planning conditions to this permission. </w:t>
      </w:r>
    </w:p>
    <w:p w:rsidR="004C4B9B" w:rsidRDefault="004C4B9B" w:rsidP="004C4B9B">
      <w:pPr>
        <w:spacing w:line="240" w:lineRule="auto"/>
        <w:ind w:left="567"/>
        <w:jc w:val="both"/>
        <w:rPr>
          <w:rFonts w:ascii="Arial" w:hAnsi="Arial"/>
          <w:i/>
          <w:sz w:val="24"/>
          <w:lang w:eastAsia="en-GB"/>
        </w:rPr>
      </w:pPr>
      <w:r>
        <w:rPr>
          <w:rFonts w:ascii="Arial" w:hAnsi="Arial"/>
          <w:i/>
          <w:sz w:val="24"/>
          <w:lang w:eastAsia="en-GB"/>
        </w:rPr>
        <w:t xml:space="preserve">Reason:  In the interests of visual and local amenity and the local environment and to conform </w:t>
      </w:r>
      <w:proofErr w:type="gramStart"/>
      <w:r>
        <w:rPr>
          <w:rFonts w:ascii="Arial" w:hAnsi="Arial"/>
          <w:i/>
          <w:sz w:val="24"/>
          <w:lang w:eastAsia="en-GB"/>
        </w:rPr>
        <w:t>with</w:t>
      </w:r>
      <w:proofErr w:type="gramEnd"/>
      <w:r>
        <w:rPr>
          <w:rFonts w:ascii="Arial" w:hAnsi="Arial"/>
          <w:i/>
          <w:sz w:val="24"/>
          <w:lang w:eastAsia="en-GB"/>
        </w:rPr>
        <w:t xml:space="preserve"> Policy EP12 of the Fylde Local Plan.</w:t>
      </w:r>
    </w:p>
    <w:p w:rsidR="004C4B9B" w:rsidRDefault="004C4B9B" w:rsidP="004C4B9B">
      <w:pPr>
        <w:spacing w:after="0" w:line="276" w:lineRule="auto"/>
        <w:jc w:val="both"/>
        <w:rPr>
          <w:rFonts w:ascii="Arial" w:hAnsi="Arial" w:cs="Arial"/>
          <w:b/>
          <w:sz w:val="24"/>
          <w:szCs w:val="24"/>
          <w:u w:val="single"/>
        </w:rPr>
      </w:pPr>
    </w:p>
    <w:p w:rsidR="004C4B9B" w:rsidRDefault="004C4B9B" w:rsidP="004C4B9B"/>
    <w:p w:rsidR="00686DB1" w:rsidRDefault="00686DB1"/>
    <w:sectPr w:rsidR="00686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9B"/>
    <w:rsid w:val="004C4B9B"/>
    <w:rsid w:val="00686DB1"/>
    <w:rsid w:val="008551CA"/>
    <w:rsid w:val="009F59DE"/>
    <w:rsid w:val="00A7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BA82D-317A-488C-9D4F-91200245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9B"/>
    <w:pPr>
      <w:overflowPunct w:val="0"/>
      <w:autoSpaceDE w:val="0"/>
      <w:autoSpaceDN w:val="0"/>
      <w:adjustRightInd w:val="0"/>
      <w:spacing w:line="48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9B"/>
    <w:pPr>
      <w:overflowPunct/>
      <w:autoSpaceDE/>
      <w:autoSpaceDN/>
      <w:adjustRightInd/>
      <w:spacing w:after="200" w:line="276" w:lineRule="auto"/>
      <w:ind w:left="720"/>
      <w:contextualSpacing/>
    </w:pPr>
    <w:rPr>
      <w:rFonts w:ascii="Arial" w:eastAsiaTheme="minorHAns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912">
      <w:bodyDiv w:val="1"/>
      <w:marLeft w:val="0"/>
      <w:marRight w:val="0"/>
      <w:marTop w:val="0"/>
      <w:marBottom w:val="0"/>
      <w:divBdr>
        <w:top w:val="none" w:sz="0" w:space="0" w:color="auto"/>
        <w:left w:val="none" w:sz="0" w:space="0" w:color="auto"/>
        <w:bottom w:val="none" w:sz="0" w:space="0" w:color="auto"/>
        <w:right w:val="none" w:sz="0" w:space="0" w:color="auto"/>
      </w:divBdr>
    </w:div>
    <w:div w:id="19570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4</cp:revision>
  <dcterms:created xsi:type="dcterms:W3CDTF">2015-06-19T16:21:00Z</dcterms:created>
  <dcterms:modified xsi:type="dcterms:W3CDTF">2015-06-19T16:37:00Z</dcterms:modified>
</cp:coreProperties>
</file>